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4"/>
    <w:p>
      <w:pPr>
        <w:pStyle w:val="Heading1"/>
      </w:pPr>
      <w:r>
        <w:t xml:space="preserve">Homiletics Analysis: 1 Kings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14 presents two prophetic confrontations that together indict the leadership failures of both the northern and southern kingdoms. The chapter opens with Jeroboam’s cynical attempt to extract a favorable word from God through deception: he sends his wife in disguise to the prophet Ahijah at Shiloh, hoping to circumvent a direct prophetic encounter. Ahijah, now old and blind, is nevertheless supernaturally informed by God of her identity and the nature of her errand. He delivers instead a devastating oracle of judgment against the house of Jeroboam — not merely personal punishment but dynastic annihilation, rooted explicitly in Jeroboam’s having led Israel into idolatry, turning the nation away from the LORD who had elevated him. The child Abijah, the one who showed some good toward the LORD, dies as soon as the queen’s foot crosses the threshold — the sole member of the house spared the ignominy of what is coming. The chapter then pivots to Judah under Rehoboam, where the kingdom repeats and deepens the apostasy of the surrounding nations, erecting high places, pillars, Asherah poles, and permitting male cult prostitutes. Shishak of Egypt raids Jerusalem, plundering the temple treasuries and the palace, including the golden shields of Solomon — which Rehoboam replaces with bronze, a telling emblem of spiritual decline. The chapter closes with the narrator’s standard regnal notices for both Jeroboam and Rehoboam, both records of failure.</w:t>
      </w:r>
    </w:p>
    <w:p>
      <w:pPr>
        <w:pStyle w:val="BodyText"/>
      </w:pPr>
      <w:r>
        <w:rPr>
          <w:b/>
          <w:bCs/>
        </w:rPr>
        <w:t xml:space="preserve">This Text — Intent:</w:t>
      </w:r>
    </w:p>
    <w:p>
      <w:pPr>
        <w:pStyle w:val="BodyText"/>
      </w:pPr>
      <w:r>
        <w:t xml:space="preserve">God intends through this chapter to demonstrate that false worship has consequences that cannot be managed, disguised, or deferred — not by the clever scheming of kings, not by the diplomatic disguises of queens, and not by the substitution of bronze for gold. The chapter confronts every instinct to keep the forms of religious access while abandoning fidelity — to seek God’s word when it serves us, while worshipping what we prefer when it does not. The intent is simultaneously diagnostic and declarative: God sees through every disguise, He cannot be manipulated into blessing what He has condemned, and the cost of leading others into false worship is catastrophic beyond calculation. There is also a subsidiary but significant intent: even in judgment, God’s word is precise, not indiscriminate — He distinguishes, He specifies, He explains His reasons. The oracle to Jeroboam’s wife is not a thunderclap of divine fury but a careful, articulate declaration of the specific grounds for judgment. God wants His people to understand</w:t>
      </w:r>
      <w:r>
        <w:t xml:space="preserve"> </w:t>
      </w:r>
      <w:r>
        <w:rPr>
          <w:i/>
          <w:iCs/>
        </w:rPr>
        <w:t xml:space="preserve">why</w:t>
      </w:r>
      <w:r>
        <w:t xml:space="preserve"> </w:t>
      </w:r>
      <w:r>
        <w:t xml:space="preserve">He acts.</w:t>
      </w:r>
    </w:p>
    <w:p>
      <w:r>
        <w:pict>
          <v:rect style="width:0;height:1.5pt" o:hralign="center" o:hrstd="t" o:hr="t"/>
        </w:pict>
      </w:r>
    </w:p>
    <w:p>
      <w:pPr>
        <w:pStyle w:val="FirstParagraph"/>
      </w:pPr>
      <w:r>
        <w:rPr>
          <w:b/>
          <w:bCs/>
        </w:rPr>
        <w:t xml:space="preserve">Subject Sentence:</w:t>
      </w:r>
      <w:r>
        <w:t xml:space="preserve"> </w:t>
      </w:r>
      <w:r>
        <w:t xml:space="preserve">God exposes and condemns both kingdoms’ leaders for leading His people into idolatry.</w:t>
      </w:r>
    </w:p>
    <w:p>
      <w:r>
        <w:pict>
          <v:rect style="width:0;height:1.5pt" o:hralign="center" o:hrstd="t" o:hr="t"/>
        </w:pict>
      </w:r>
    </w:p>
    <w:p>
      <w:pPr>
        <w:pStyle w:val="FirstParagraph"/>
      </w:pPr>
      <w:r>
        <w:rPr>
          <w:b/>
          <w:bCs/>
        </w:rPr>
        <w:t xml:space="preserve">Primary Claim:</w:t>
      </w:r>
      <w:r>
        <w:t xml:space="preserve"> </w:t>
      </w:r>
      <w:r>
        <w:t xml:space="preserve">God cannot be manipulated into tolerating what He has condemned — false worship by those entrusted with His people brings certain, articulate, and catastrophic judgment, and no disguise, diplomatic maneuver, or surface substitution will deflect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nature and function of the Ahijah oracle:</w:t>
      </w:r>
      <w:r>
        <w:t xml:space="preserve"> </w:t>
      </w:r>
      <w:r>
        <w:t xml:space="preserve">The central hermeneutical question in the first movement is whether the Ahijah oracle is primarily punitive (God punishing Jeroboam) or covenantal (God holding Jeroboam accountable for the stewardship of a kingdom given by covenant grace). These are not mutually exclusive, but the distinction matters for preaching. A purely punitive reading misses the theological weight of Ahijah’s indictment: the LORD</w:t>
      </w:r>
      <w:r>
        <w:t xml:space="preserve"> </w:t>
      </w:r>
      <w:r>
        <w:rPr>
          <w:i/>
          <w:iCs/>
        </w:rPr>
        <w:t xml:space="preserve">gave</w:t>
      </w:r>
      <w:r>
        <w:t xml:space="preserve"> </w:t>
      </w:r>
      <w:r>
        <w:t xml:space="preserve">Jeroboam the northern kingdom, tearing it from David’s house, and the explicit grounds for judgment is that Jeroboam</w:t>
      </w:r>
      <w:r>
        <w:t xml:space="preserve"> </w:t>
      </w:r>
      <w:r>
        <w:t xml:space="preserve">“did not do as David my servant did”</w:t>
      </w:r>
      <w:r>
        <w:t xml:space="preserve"> </w:t>
      </w:r>
      <w:r>
        <w:t xml:space="preserve">and</w:t>
      </w:r>
      <w:r>
        <w:t xml:space="preserve"> </w:t>
      </w:r>
      <w:r>
        <w:t xml:space="preserve">“went and made other gods”</w:t>
      </w:r>
      <w:r>
        <w:t xml:space="preserve"> </w:t>
      </w:r>
      <w:r>
        <w:t xml:space="preserve">(v. 9). The judgment is covenantal — a king entrusted with God’s people led them away from God. The Reformed reading rightly emphasizes the stewardship dimension: leadership of God’s people is a covenantal trust, not a political appointment, and the accountability is correspondingly severe. Dispensational readers may read this primarily as a fulfillment of prophetic history, emphasizing the precision of fulfilled prediction over the theological weight of covenantal failure. Both dimensions are present in the text; the Reformed reading holds them together more naturally by foregrounding covenant theology.</w:t>
      </w:r>
    </w:p>
    <w:p>
      <w:pPr>
        <w:pStyle w:val="BodyText"/>
      </w:pPr>
      <w:r>
        <w:rPr>
          <w:b/>
          <w:bCs/>
        </w:rPr>
        <w:t xml:space="preserve">On Ahijah’s prophecy regarding the child Abijah:</w:t>
      </w:r>
      <w:r>
        <w:t xml:space="preserve"> </w:t>
      </w:r>
      <w:r>
        <w:t xml:space="preserve">Some read the death of the child as mere punishment — part of the judgment on the house. The text, however, uses remarkably tender and specific language: the child dies because</w:t>
      </w:r>
      <w:r>
        <w:t xml:space="preserve"> </w:t>
      </w:r>
      <w:r>
        <w:t xml:space="preserve">“in him there is found something pleasing to the LORD God of Israel in the house of Jeroboam”</w:t>
      </w:r>
      <w:r>
        <w:t xml:space="preserve"> </w:t>
      </w:r>
      <w:r>
        <w:t xml:space="preserve">(v. 13). This is not punishment — it is a merciful early death that spares the child the shame and violence that will fall on the rest of the dynasty. This reading is not sentimentalism; it is the text’s own logic. The Reformed reading sees here an instance of God’s particular mercy operating within a context of general judgment — distinguishing and preserving even in the midst of dynastic destruction. Interpretive traditions that flatten the child’s death into general punishment miss this deliberate textual signal.</w:t>
      </w:r>
    </w:p>
    <w:p>
      <w:pPr>
        <w:pStyle w:val="BodyText"/>
      </w:pPr>
      <w:r>
        <w:rPr>
          <w:b/>
          <w:bCs/>
        </w:rPr>
        <w:t xml:space="preserve">On Rehoboam and Judah’s apostasy (vv. 21–31):</w:t>
      </w:r>
      <w:r>
        <w:t xml:space="preserve"> </w:t>
      </w:r>
      <w:r>
        <w:t xml:space="preserve">The second movement is sometimes treated as an appendix or a parallel structural device (both kingdoms condemned together). But the narrator’s specific indictment of Judah is pointed: they</w:t>
      </w:r>
      <w:r>
        <w:t xml:space="preserve"> </w:t>
      </w:r>
      <w:r>
        <w:t xml:space="preserve">“did according to all the abominations of the nations that the LORD drove out before the people of Israel”</w:t>
      </w:r>
      <w:r>
        <w:t xml:space="preserve"> </w:t>
      </w:r>
      <w:r>
        <w:t xml:space="preserve">(v. 24). This is not a mild failure — it is the precise sin for which Canaan was dispossessed. The inclusion of</w:t>
      </w:r>
      <w:r>
        <w:t xml:space="preserve"> </w:t>
      </w:r>
      <w:r>
        <w:rPr>
          <w:i/>
          <w:iCs/>
        </w:rPr>
        <w:t xml:space="preserve">qědēšîm</w:t>
      </w:r>
      <w:r>
        <w:t xml:space="preserve"> </w:t>
      </w:r>
      <w:r>
        <w:t xml:space="preserve">(male cult prostitutes) signals that the apostasy was not merely political or syncretistic but involved the full replication of Canaanite fertility worship at the heart of the covenant people. The Reformed reading insists that this cannot be domesticated into</w:t>
      </w:r>
      <w:r>
        <w:t xml:space="preserve"> </w:t>
      </w:r>
      <w:r>
        <w:t xml:space="preserve">“religious pluralism”</w:t>
      </w:r>
      <w:r>
        <w:t xml:space="preserve"> </w:t>
      </w:r>
      <w:r>
        <w:t xml:space="preserve">— it is covenant treachery of the first order. Arminian readers who emphasize human free will and response may read Judah’s failure as a cautionary tale about poor choices; that reading is not wrong but underweights the covenantal and corporate dimensions of the catastrophe, including the way Solomon’s compromises in chapter 11 have now fully metastasized under his son.</w:t>
      </w:r>
    </w:p>
    <w:p>
      <w:pPr>
        <w:pStyle w:val="BodyText"/>
      </w:pPr>
      <w:r>
        <w:rPr>
          <w:b/>
          <w:bCs/>
        </w:rPr>
        <w:t xml:space="preserve">On the Shishak raid and the bronze shields:</w:t>
      </w:r>
      <w:r>
        <w:t xml:space="preserve"> </w:t>
      </w:r>
      <w:r>
        <w:t xml:space="preserve">The replacement of Solomon’s golden shields with bronze is a detail that some dismiss as incidental political history. The Reformed reading sees it as a deliberate narrative emblem: the external glory of the Solomonic golden age has been hollowed out, replaced with a mere semblance — soldiers carrying bronze where gold once gleamed, maintaining the ceremonial form while the substance has been stripped away. This is not editorial elaboration; it is the narrator’s theological commentary on what apostasy costs and what it produces: imitation religion, the form without the glory.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the king must not multiply horses, wives, or wealth for himself, and must copy and read the law daily. Jeroboam’s and Rehoboam’s failures are precisely the failures Deuteronomy anticipated and warned against; the chapter is a case study in what happens when the Deuteronomic standard is abandoned.</w:t>
      </w:r>
    </w:p>
    <w:p>
      <w:pPr>
        <w:numPr>
          <w:ilvl w:val="0"/>
          <w:numId w:val="1001"/>
        </w:numPr>
      </w:pPr>
      <w:r>
        <w:rPr>
          <w:b/>
          <w:bCs/>
        </w:rPr>
        <w:t xml:space="preserve">1 Kings 11:29–39</w:t>
      </w:r>
      <w:r>
        <w:t xml:space="preserve"> </w:t>
      </w:r>
      <w:r>
        <w:t xml:space="preserve">— Ahijah’s original oracle to Jeroboam: God gave him the kingdom conditionally, on the same terms David was given — walking in God’s ways. Chapter 14 is the fulfillment of what chapter 11 warned; the same prophet now pronounces the judgment the earlier oracle had put on notice.</w:t>
      </w:r>
    </w:p>
    <w:p>
      <w:pPr>
        <w:numPr>
          <w:ilvl w:val="0"/>
          <w:numId w:val="1001"/>
        </w:numPr>
      </w:pPr>
      <w:r>
        <w:rPr>
          <w:b/>
          <w:bCs/>
        </w:rPr>
        <w:t xml:space="preserve">2 Chronicles 12:1–12</w:t>
      </w:r>
      <w:r>
        <w:t xml:space="preserve"> </w:t>
      </w:r>
      <w:r>
        <w:t xml:space="preserve">— The Shishak invasion is elaborated in Chronicles, adding Shemaiah’s prophetic word and Rehoboam’s partial humbling. The Chronicler records that</w:t>
      </w:r>
      <w:r>
        <w:t xml:space="preserve"> </w:t>
      </w:r>
      <w:r>
        <w:t xml:space="preserve">“they humbled themselves; the wrath of the LORD turned from them, so as not to make a complete destruction”</w:t>
      </w:r>
      <w:r>
        <w:t xml:space="preserve"> </w:t>
      </w:r>
      <w:r>
        <w:t xml:space="preserve">— showing that even in this judgment, there was some room for response, though the damage was not reversed.</w:t>
      </w:r>
    </w:p>
    <w:p>
      <w:pPr>
        <w:numPr>
          <w:ilvl w:val="0"/>
          <w:numId w:val="1001"/>
        </w:numPr>
      </w:pPr>
      <w:r>
        <w:rPr>
          <w:b/>
          <w:bCs/>
        </w:rPr>
        <w:t xml:space="preserve">Romans 1:18–25</w:t>
      </w:r>
      <w:r>
        <w:t xml:space="preserve"> </w:t>
      </w:r>
      <w:r>
        <w:t xml:space="preserve">— The Pauline analysis of idolatry illuminates the internal logic of both kingdoms’ failure: suppressing the truth, exchanging the glory of God for images, and God giving them over to the consequences of their own choices. Jeroboam’s idolatry in 1 Kings 14 is not an isolated political failure — it is the pattern of human sin Paul describes as universal.</w:t>
      </w:r>
    </w:p>
    <w:p>
      <w:pPr>
        <w:numPr>
          <w:ilvl w:val="0"/>
          <w:numId w:val="1001"/>
        </w:numPr>
      </w:pPr>
      <w:r>
        <w:rPr>
          <w:b/>
          <w:bCs/>
        </w:rPr>
        <w:t xml:space="preserve">Ezekiel 34:1–10</w:t>
      </w:r>
      <w:r>
        <w:t xml:space="preserve"> </w:t>
      </w:r>
      <w:r>
        <w:t xml:space="preserve">— God’s indictment of shepherds who have not cared for the flock but exploited it. Jeroboam is the paradigm case: the king who led God’s people astray bears a specific, compounded guilt — the ordinary sinner’s guilt plus the guilt of every person whose faith was distorted by his leadership.</w:t>
      </w:r>
    </w:p>
    <w:p>
      <w:r>
        <w:pict>
          <v:rect style="width:0;height:1.5pt" o:hralign="center" o:hrstd="t" o:hr="t"/>
        </w:pict>
      </w:r>
    </w:p>
    <w:p>
      <w:pPr>
        <w:pStyle w:val="FirstParagraph"/>
      </w:pPr>
      <w:r>
        <w:rPr>
          <w:b/>
          <w:bCs/>
        </w:rPr>
        <w:t xml:space="preserve">Aim:</w:t>
      </w:r>
      <w:r>
        <w:t xml:space="preserve"> </w:t>
      </w:r>
      <w:r>
        <w:t xml:space="preserve">To expose the futility of managing the appearance of religious access while abandoning fidelity to God, and to show that covenantal leadership of God’s people carries a weight of accountability that no political strategy or religious theater can escape.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Jeroboam’s son Abijah falls ill; Jeroboam sends his wife in disguise to Ahijah the prophet at Shiloh with gifts to inquire what will happen to the child</w:t>
            </w:r>
          </w:p>
        </w:tc>
        <w:tc>
          <w:tcPr/>
          <w:p>
            <w:pPr>
              <w:pStyle w:val="Compact"/>
            </w:pPr>
            <w:r>
              <w:t xml:space="preserve">The disguise is the controlling irony: Jeroboam, who built a false religion for political convenience, now tries to access the true prophet through deception</w:t>
            </w:r>
          </w:p>
        </w:tc>
      </w:tr>
      <w:tr>
        <w:tc>
          <w:tcPr/>
          <w:p>
            <w:pPr>
              <w:pStyle w:val="Compact"/>
            </w:pPr>
            <w:r>
              <w:t xml:space="preserve">4–5</w:t>
            </w:r>
          </w:p>
        </w:tc>
        <w:tc>
          <w:tcPr/>
          <w:p>
            <w:pPr>
              <w:pStyle w:val="Compact"/>
            </w:pPr>
            <w:r>
              <w:t xml:space="preserve">Jeroboam’s wife goes to Ahijah; God has already told Ahijah she is coming and revealed her identity despite his blindness</w:t>
            </w:r>
          </w:p>
        </w:tc>
        <w:tc>
          <w:tcPr/>
          <w:p>
            <w:pPr>
              <w:pStyle w:val="Compact"/>
            </w:pPr>
            <w:r>
              <w:t xml:space="preserve">The contrast is stark: the prophet cannot see with his eyes but sees everything that matters; the king can see but is spiritually blind</w:t>
            </w:r>
          </w:p>
        </w:tc>
      </w:tr>
      <w:tr>
        <w:tc>
          <w:tcPr/>
          <w:p>
            <w:pPr>
              <w:pStyle w:val="Compact"/>
            </w:pPr>
            <w:r>
              <w:t xml:space="preserve">6</w:t>
            </w:r>
          </w:p>
        </w:tc>
        <w:tc>
          <w:tcPr/>
          <w:p>
            <w:pPr>
              <w:pStyle w:val="Compact"/>
            </w:pPr>
            <w:r>
              <w:t xml:space="preserve">Ahijah hears her footsteps and calls her out immediately —</w:t>
            </w:r>
            <w:r>
              <w:t xml:space="preserve"> </w:t>
            </w:r>
            <w:r>
              <w:t xml:space="preserve">“Come in, wife of Jeroboam. Why do you pretend to be another?”</w:t>
            </w:r>
            <w:r>
              <w:t xml:space="preserve"> </w:t>
            </w:r>
            <w:r>
              <w:t xml:space="preserve">— announcing that he has</w:t>
            </w:r>
            <w:r>
              <w:t xml:space="preserve"> </w:t>
            </w:r>
            <w:r>
              <w:t xml:space="preserve">“heavy news”</w:t>
            </w:r>
            <w:r>
              <w:t xml:space="preserve"> </w:t>
            </w:r>
            <w:r>
              <w:t xml:space="preserve">for her</w:t>
            </w:r>
          </w:p>
        </w:tc>
        <w:tc>
          <w:tcPr/>
          <w:p>
            <w:pPr>
              <w:pStyle w:val="Compact"/>
            </w:pPr>
            <w:r>
              <w:t xml:space="preserve">The disguise is stripped at the threshold; she never gets to ask her question</w:t>
            </w:r>
          </w:p>
        </w:tc>
      </w:tr>
      <w:tr>
        <w:tc>
          <w:tcPr/>
          <w:p>
            <w:pPr>
              <w:pStyle w:val="Compact"/>
            </w:pPr>
            <w:r>
              <w:t xml:space="preserve">7–9</w:t>
            </w:r>
          </w:p>
        </w:tc>
        <w:tc>
          <w:tcPr/>
          <w:p>
            <w:pPr>
              <w:pStyle w:val="Compact"/>
            </w:pPr>
            <w:r>
              <w:t xml:space="preserve">The oracle of judgment begins: God recounts what He gave Jeroboam — elevation from obscurity to leadership over Israel — and what Jeroboam did in return: made other gods, cast metal images, provoked the LORD to anger, and</w:t>
            </w:r>
            <w:r>
              <w:t xml:space="preserve"> </w:t>
            </w:r>
            <w:r>
              <w:t xml:space="preserve">“cast me behind your back”</w:t>
            </w:r>
          </w:p>
        </w:tc>
        <w:tc>
          <w:tcPr/>
          <w:p>
            <w:pPr>
              <w:pStyle w:val="Compact"/>
            </w:pPr>
            <w:r>
              <w:t xml:space="preserve">The phrase</w:t>
            </w:r>
            <w:r>
              <w:t xml:space="preserve"> </w:t>
            </w:r>
            <w:r>
              <w:t xml:space="preserve">“cast me behind your back”</w:t>
            </w:r>
            <w:r>
              <w:t xml:space="preserve"> </w:t>
            </w:r>
            <w:r>
              <w:t xml:space="preserve">is uniquely damning — not ignorance, not confusion, but deliberate rejection</w:t>
            </w:r>
          </w:p>
        </w:tc>
      </w:tr>
      <w:tr>
        <w:tc>
          <w:tcPr/>
          <w:p>
            <w:pPr>
              <w:pStyle w:val="Compact"/>
            </w:pPr>
            <w:r>
              <w:t xml:space="preserve">10–11</w:t>
            </w:r>
          </w:p>
        </w:tc>
        <w:tc>
          <w:tcPr/>
          <w:p>
            <w:pPr>
              <w:pStyle w:val="Compact"/>
            </w:pPr>
            <w:r>
              <w:t xml:space="preserve">God declares He will cut off every male of Jeroboam’s house, consume the house as dung is consumed, and that those who die in the city will be eaten by dogs, those who die in the field by birds</w:t>
            </w:r>
          </w:p>
        </w:tc>
        <w:tc>
          <w:tcPr/>
          <w:p>
            <w:pPr>
              <w:pStyle w:val="Compact"/>
            </w:pPr>
            <w:r>
              <w:t xml:space="preserve">The judgment is total, deliberate, and ignominious — no honorable burial for the dynasty</w:t>
            </w:r>
          </w:p>
        </w:tc>
      </w:tr>
      <w:tr>
        <w:tc>
          <w:tcPr/>
          <w:p>
            <w:pPr>
              <w:pStyle w:val="Compact"/>
            </w:pPr>
            <w:r>
              <w:t xml:space="preserve">12–13</w:t>
            </w:r>
          </w:p>
        </w:tc>
        <w:tc>
          <w:tcPr/>
          <w:p>
            <w:pPr>
              <w:pStyle w:val="Compact"/>
            </w:pPr>
            <w:r>
              <w:t xml:space="preserve">The queen is told to go home; as her feet enter the city the child will die; all Israel will mourn him; he alone will be buried because</w:t>
            </w:r>
            <w:r>
              <w:t xml:space="preserve"> </w:t>
            </w:r>
            <w:r>
              <w:t xml:space="preserve">“in him there is found something pleasing to the LORD”</w:t>
            </w:r>
          </w:p>
        </w:tc>
        <w:tc>
          <w:tcPr/>
          <w:p>
            <w:pPr>
              <w:pStyle w:val="Compact"/>
            </w:pPr>
            <w:r>
              <w:t xml:space="preserve">A remarkable parenthesis of mercy within the oracle of judgment</w:t>
            </w:r>
          </w:p>
        </w:tc>
      </w:tr>
      <w:tr>
        <w:tc>
          <w:tcPr/>
          <w:p>
            <w:pPr>
              <w:pStyle w:val="Compact"/>
            </w:pPr>
            <w:r>
              <w:t xml:space="preserve">14</w:t>
            </w:r>
          </w:p>
        </w:tc>
        <w:tc>
          <w:tcPr/>
          <w:p>
            <w:pPr>
              <w:pStyle w:val="Compact"/>
            </w:pPr>
            <w:r>
              <w:t xml:space="preserve">The LORD will raise up a king over Israel who will cut off the house of Jeroboam —</w:t>
            </w:r>
            <w:r>
              <w:t xml:space="preserve"> </w:t>
            </w:r>
            <w:r>
              <w:t xml:space="preserve">“today, even now”</w:t>
            </w:r>
          </w:p>
        </w:tc>
        <w:tc>
          <w:tcPr/>
          <w:p>
            <w:pPr>
              <w:pStyle w:val="Compact"/>
            </w:pPr>
            <w:r>
              <w:t xml:space="preserve">The fulfillment is announced before it occurs; it comes in 1 Kings 15:27–30</w:t>
            </w:r>
          </w:p>
        </w:tc>
      </w:tr>
      <w:tr>
        <w:tc>
          <w:tcPr/>
          <w:p>
            <w:pPr>
              <w:pStyle w:val="Compact"/>
            </w:pPr>
            <w:r>
              <w:t xml:space="preserve">15–16</w:t>
            </w:r>
          </w:p>
        </w:tc>
        <w:tc>
          <w:tcPr/>
          <w:p>
            <w:pPr>
              <w:pStyle w:val="Compact"/>
            </w:pPr>
            <w:r>
              <w:t xml:space="preserve">The LORD will strike Israel as a reed is shaken in water, uproot them from the good land, and scatter them beyond the Euphrates — because Jeroboam sinned and made Israel to sin</w:t>
            </w:r>
          </w:p>
        </w:tc>
        <w:tc>
          <w:tcPr/>
          <w:p>
            <w:pPr>
              <w:pStyle w:val="Compact"/>
            </w:pPr>
            <w:r>
              <w:t xml:space="preserve">The judgment reaches beyond the dynasty to the whole nation; the sin of the leader becomes the sin of the led</w:t>
            </w:r>
          </w:p>
        </w:tc>
      </w:tr>
      <w:tr>
        <w:tc>
          <w:tcPr/>
          <w:p>
            <w:pPr>
              <w:pStyle w:val="Compact"/>
            </w:pPr>
            <w:r>
              <w:t xml:space="preserve">17–18</w:t>
            </w:r>
          </w:p>
        </w:tc>
        <w:tc>
          <w:tcPr/>
          <w:p>
            <w:pPr>
              <w:pStyle w:val="Compact"/>
            </w:pPr>
            <w:r>
              <w:t xml:space="preserve">The queen returns to Tirzah; as she crosses the threshold the child dies; all Israel mourns him as the LORD spoke through Ahijah</w:t>
            </w:r>
          </w:p>
        </w:tc>
        <w:tc>
          <w:tcPr/>
          <w:p>
            <w:pPr>
              <w:pStyle w:val="Compact"/>
            </w:pPr>
            <w:r>
              <w:t xml:space="preserve">Exact fulfillment of the prophecy — the word of God is shown to be precise and reliable</w:t>
            </w:r>
          </w:p>
        </w:tc>
      </w:tr>
      <w:tr>
        <w:tc>
          <w:tcPr/>
          <w:p>
            <w:pPr>
              <w:pStyle w:val="Compact"/>
            </w:pPr>
            <w:r>
              <w:t xml:space="preserve">19</w:t>
            </w:r>
          </w:p>
        </w:tc>
        <w:tc>
          <w:tcPr/>
          <w:p>
            <w:pPr>
              <w:pStyle w:val="Compact"/>
            </w:pPr>
            <w:r>
              <w:t xml:space="preserve">Regnal notice for Jeroboam: the rest of his acts are in the Book of the Chronicles of the Kings of Israel</w:t>
            </w:r>
          </w:p>
        </w:tc>
        <w:tc>
          <w:tcPr/>
          <w:p>
            <w:pPr>
              <w:pStyle w:val="Compact"/>
            </w:pPr>
            <w:r>
              <w:t xml:space="preserve">Standard notice; the narrator has already said everything that matters</w:t>
            </w:r>
          </w:p>
        </w:tc>
      </w:tr>
      <w:tr>
        <w:tc>
          <w:tcPr/>
          <w:p>
            <w:pPr>
              <w:pStyle w:val="Compact"/>
            </w:pPr>
            <w:r>
              <w:t xml:space="preserve">20</w:t>
            </w:r>
          </w:p>
        </w:tc>
        <w:tc>
          <w:tcPr/>
          <w:p>
            <w:pPr>
              <w:pStyle w:val="Compact"/>
            </w:pPr>
            <w:r>
              <w:t xml:space="preserve">Jeroboam dies after a reign of twenty-two years; his son Nadab succeeds him</w:t>
            </w:r>
          </w:p>
        </w:tc>
        <w:tc>
          <w:tcPr/>
          <w:p>
            <w:pPr>
              <w:pStyle w:val="Compact"/>
            </w:pPr>
            <w:r>
              <w:t xml:space="preserve">The dynasty continues briefly — its end is coming (1 Kings 15:25–30)</w:t>
            </w:r>
          </w:p>
        </w:tc>
      </w:tr>
      <w:tr>
        <w:tc>
          <w:tcPr/>
          <w:p>
            <w:pPr>
              <w:pStyle w:val="Compact"/>
            </w:pPr>
            <w:r>
              <w:t xml:space="preserve">21</w:t>
            </w:r>
          </w:p>
        </w:tc>
        <w:tc>
          <w:tcPr/>
          <w:p>
            <w:pPr>
              <w:pStyle w:val="Compact"/>
            </w:pPr>
            <w:r>
              <w:t xml:space="preserve">Rehoboam son of Solomon reigns in Judah — forty-one years in Jerusalem; his mother is Naamah the Ammonite</w:t>
            </w:r>
          </w:p>
        </w:tc>
        <w:tc>
          <w:tcPr/>
          <w:p>
            <w:pPr>
              <w:pStyle w:val="Compact"/>
            </w:pPr>
            <w:r>
              <w:t xml:space="preserve">The mention of his Ammonite mother is editorially suggestive given what follows</w:t>
            </w:r>
          </w:p>
        </w:tc>
      </w:tr>
      <w:tr>
        <w:tc>
          <w:tcPr/>
          <w:p>
            <w:pPr>
              <w:pStyle w:val="Compact"/>
            </w:pPr>
            <w:r>
              <w:t xml:space="preserve">22–24</w:t>
            </w:r>
          </w:p>
        </w:tc>
        <w:tc>
          <w:tcPr/>
          <w:p>
            <w:pPr>
              <w:pStyle w:val="Compact"/>
            </w:pPr>
            <w:r>
              <w:t xml:space="preserve">Judah does evil; they built high places, pillars, Asherah poles on every high hill and under every green tree; male cult prostitutes in the land; all the abominations of the nations the LORD drove out</w:t>
            </w:r>
          </w:p>
        </w:tc>
        <w:tc>
          <w:tcPr/>
          <w:p>
            <w:pPr>
              <w:pStyle w:val="Compact"/>
            </w:pPr>
            <w:r>
              <w:t xml:space="preserve">The narrator gives the full catalog — this is not syncretism but comprehensive Canaanite religious replication</w:t>
            </w:r>
          </w:p>
        </w:tc>
      </w:tr>
      <w:tr>
        <w:tc>
          <w:tcPr/>
          <w:p>
            <w:pPr>
              <w:pStyle w:val="Compact"/>
            </w:pPr>
            <w:r>
              <w:t xml:space="preserve">25–26</w:t>
            </w:r>
          </w:p>
        </w:tc>
        <w:tc>
          <w:tcPr/>
          <w:p>
            <w:pPr>
              <w:pStyle w:val="Compact"/>
            </w:pPr>
            <w:r>
              <w:t xml:space="preserve">In the fifth year of Rehoboam, Shishak king of Egypt attacks Jerusalem and takes the treasures of the temple and the palace, including the golden shields of Solomon</w:t>
            </w:r>
          </w:p>
        </w:tc>
        <w:tc>
          <w:tcPr/>
          <w:p>
            <w:pPr>
              <w:pStyle w:val="Compact"/>
            </w:pPr>
            <w:r>
              <w:t xml:space="preserve">The theological logic: the glory God gave through Solomon is stripped because of Judah’s faithlessness</w:t>
            </w:r>
          </w:p>
        </w:tc>
      </w:tr>
      <w:tr>
        <w:tc>
          <w:tcPr/>
          <w:p>
            <w:pPr>
              <w:pStyle w:val="Compact"/>
            </w:pPr>
            <w:r>
              <w:t xml:space="preserve">27–28</w:t>
            </w:r>
          </w:p>
        </w:tc>
        <w:tc>
          <w:tcPr/>
          <w:p>
            <w:pPr>
              <w:pStyle w:val="Compact"/>
            </w:pPr>
            <w:r>
              <w:t xml:space="preserve">Rehoboam makes bronze shields to replace the gold ones; the guard uses them for royal processions and returns them to the guardroom afterward</w:t>
            </w:r>
          </w:p>
        </w:tc>
        <w:tc>
          <w:tcPr/>
          <w:p>
            <w:pPr>
              <w:pStyle w:val="Compact"/>
            </w:pPr>
            <w:r>
              <w:t xml:space="preserve">The substitution of bronze for gold as a narrative emblem of hollowed-out religion</w:t>
            </w:r>
          </w:p>
        </w:tc>
      </w:tr>
      <w:tr>
        <w:tc>
          <w:tcPr/>
          <w:p>
            <w:pPr>
              <w:pStyle w:val="Compact"/>
            </w:pPr>
            <w:r>
              <w:t xml:space="preserve">29–30</w:t>
            </w:r>
          </w:p>
        </w:tc>
        <w:tc>
          <w:tcPr/>
          <w:p>
            <w:pPr>
              <w:pStyle w:val="Compact"/>
            </w:pPr>
            <w:r>
              <w:t xml:space="preserve">Regnal notice: the rest of Rehoboam’s acts are in the Chronicles of the Kings of Judah; there was war between Rehoboam and Jeroboam continually</w:t>
            </w:r>
          </w:p>
        </w:tc>
        <w:tc>
          <w:tcPr/>
          <w:p>
            <w:pPr>
              <w:pStyle w:val="Compact"/>
            </w:pPr>
            <w:r>
              <w:t xml:space="preserve">Continual war between the divided kingdoms — the fracture is not healing</w:t>
            </w:r>
          </w:p>
        </w:tc>
      </w:tr>
      <w:tr>
        <w:tc>
          <w:tcPr/>
          <w:p>
            <w:pPr>
              <w:pStyle w:val="Compact"/>
            </w:pPr>
            <w:r>
              <w:t xml:space="preserve">31</w:t>
            </w:r>
          </w:p>
        </w:tc>
        <w:tc>
          <w:tcPr/>
          <w:p>
            <w:pPr>
              <w:pStyle w:val="Compact"/>
            </w:pPr>
            <w:r>
              <w:t xml:space="preserve">Rehoboam dies and is buried with his fathers in Jerusalem; his mother Naamah the Ammonite is again noted; his son Abijam succeeds him</w:t>
            </w:r>
          </w:p>
        </w:tc>
        <w:tc>
          <w:tcPr/>
          <w:p>
            <w:pPr>
              <w:pStyle w:val="Compact"/>
            </w:pPr>
            <w:r>
              <w:t xml:space="preserve">The repetition of the Ammonite mother at the close is deliberate; the dynasty continues but under a shadow</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Disguised Queen: Jeroboam’s Attempt to Manipulate God’s Word</w:t>
            </w:r>
          </w:p>
        </w:tc>
      </w:tr>
      <w:tr>
        <w:tc>
          <w:tcPr/>
          <w:p>
            <w:pPr>
              <w:pStyle w:val="Compact"/>
            </w:pPr>
            <w:r>
              <w:t xml:space="preserve">2</w:t>
            </w:r>
          </w:p>
        </w:tc>
        <w:tc>
          <w:tcPr/>
          <w:p>
            <w:pPr>
              <w:pStyle w:val="Compact"/>
            </w:pPr>
            <w:r>
              <w:t xml:space="preserve">4–6</w:t>
            </w:r>
          </w:p>
        </w:tc>
        <w:tc>
          <w:tcPr/>
          <w:p>
            <w:pPr>
              <w:pStyle w:val="Compact"/>
            </w:pPr>
            <w:r>
              <w:t xml:space="preserve">God Sees Through the Disguise: The Prophet Unmasks the Pretense</w:t>
            </w:r>
          </w:p>
        </w:tc>
      </w:tr>
      <w:tr>
        <w:tc>
          <w:tcPr/>
          <w:p>
            <w:pPr>
              <w:pStyle w:val="Compact"/>
            </w:pPr>
            <w:r>
              <w:t xml:space="preserve">3</w:t>
            </w:r>
          </w:p>
        </w:tc>
        <w:tc>
          <w:tcPr/>
          <w:p>
            <w:pPr>
              <w:pStyle w:val="Compact"/>
            </w:pPr>
            <w:r>
              <w:t xml:space="preserve">7–16</w:t>
            </w:r>
          </w:p>
        </w:tc>
        <w:tc>
          <w:tcPr/>
          <w:p>
            <w:pPr>
              <w:pStyle w:val="Compact"/>
            </w:pPr>
            <w:r>
              <w:t xml:space="preserve">The Oracle of Judgment: Covenantal Accountability for Jeroboam and All Israel</w:t>
            </w:r>
          </w:p>
        </w:tc>
      </w:tr>
      <w:tr>
        <w:tc>
          <w:tcPr/>
          <w:p>
            <w:pPr>
              <w:pStyle w:val="Compact"/>
            </w:pPr>
            <w:r>
              <w:t xml:space="preserve">4</w:t>
            </w:r>
          </w:p>
        </w:tc>
        <w:tc>
          <w:tcPr/>
          <w:p>
            <w:pPr>
              <w:pStyle w:val="Compact"/>
            </w:pPr>
            <w:r>
              <w:t xml:space="preserve">17–20</w:t>
            </w:r>
          </w:p>
        </w:tc>
        <w:tc>
          <w:tcPr/>
          <w:p>
            <w:pPr>
              <w:pStyle w:val="Compact"/>
            </w:pPr>
            <w:r>
              <w:t xml:space="preserve">Exact Fulfillment: The Word of God Proves Precise</w:t>
            </w:r>
          </w:p>
        </w:tc>
      </w:tr>
      <w:tr>
        <w:tc>
          <w:tcPr/>
          <w:p>
            <w:pPr>
              <w:pStyle w:val="Compact"/>
            </w:pPr>
            <w:r>
              <w:t xml:space="preserve">5</w:t>
            </w:r>
          </w:p>
        </w:tc>
        <w:tc>
          <w:tcPr/>
          <w:p>
            <w:pPr>
              <w:pStyle w:val="Compact"/>
            </w:pPr>
            <w:r>
              <w:t xml:space="preserve">21–24</w:t>
            </w:r>
          </w:p>
        </w:tc>
        <w:tc>
          <w:tcPr/>
          <w:p>
            <w:pPr>
              <w:pStyle w:val="Compact"/>
            </w:pPr>
            <w:r>
              <w:t xml:space="preserve">Judah’s Apostasy: The South Replicates the Abominations of the Nations</w:t>
            </w:r>
          </w:p>
        </w:tc>
      </w:tr>
      <w:tr>
        <w:tc>
          <w:tcPr/>
          <w:p>
            <w:pPr>
              <w:pStyle w:val="Compact"/>
            </w:pPr>
            <w:r>
              <w:t xml:space="preserve">6</w:t>
            </w:r>
          </w:p>
        </w:tc>
        <w:tc>
          <w:tcPr/>
          <w:p>
            <w:pPr>
              <w:pStyle w:val="Compact"/>
            </w:pPr>
            <w:r>
              <w:t xml:space="preserve">25–28</w:t>
            </w:r>
          </w:p>
        </w:tc>
        <w:tc>
          <w:tcPr/>
          <w:p>
            <w:pPr>
              <w:pStyle w:val="Compact"/>
            </w:pPr>
            <w:r>
              <w:t xml:space="preserve">Shishak’s Raid: Gold Replaced by Bronze — the Cost of Abandoning God</w:t>
            </w:r>
          </w:p>
        </w:tc>
      </w:tr>
      <w:tr>
        <w:tc>
          <w:tcPr/>
          <w:p>
            <w:pPr>
              <w:pStyle w:val="Compact"/>
            </w:pPr>
            <w:r>
              <w:t xml:space="preserve">7</w:t>
            </w:r>
          </w:p>
        </w:tc>
        <w:tc>
          <w:tcPr/>
          <w:p>
            <w:pPr>
              <w:pStyle w:val="Compact"/>
            </w:pPr>
            <w:r>
              <w:t xml:space="preserve">29–31</w:t>
            </w:r>
          </w:p>
        </w:tc>
        <w:tc>
          <w:tcPr/>
          <w:p>
            <w:pPr>
              <w:pStyle w:val="Compact"/>
            </w:pPr>
            <w:r>
              <w:t xml:space="preserve">Regnal Closure: Two Dynasties, One Verdict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exposes and condemns both kingdoms’ leaders for leading His people into idolatry.</w:t>
      </w:r>
    </w:p>
    <w:p>
      <w:pPr>
        <w:pStyle w:val="BodyText"/>
      </w:pPr>
      <w:r>
        <w:rPr>
          <w:b/>
          <w:bCs/>
        </w:rPr>
        <w:t xml:space="preserve">Primary Claim:</w:t>
      </w:r>
      <w:r>
        <w:t xml:space="preserve"> </w:t>
      </w:r>
      <w:r>
        <w:t xml:space="preserve">God cannot be manipulated into tolerating what He has condemned — false worship by those entrusted with His people brings certain, articulate, and catastrophic judgment, and no disguise, diplomatic maneuver, or surface substitution will deflect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 cannot manage your relationship with God through strategic religious access while living in deliberate rebellion.</w:t>
      </w:r>
      <w:r>
        <w:t xml:space="preserve"> </w:t>
      </w:r>
      <w:r>
        <w:rPr>
          <w:i/>
          <w:iCs/>
        </w:rPr>
        <w:t xml:space="preserve">(Mind/Belief)</w:t>
      </w:r>
      <w:r>
        <w:t xml:space="preserve"> </w:t>
      </w:r>
      <w:r>
        <w:t xml:space="preserve">Jeroboam’s entire gambit in this chapter rests on a theological assumption: that the prophet is a resource to be consulted when needed, that God’s word can be extracted through proper technique while Jeroboam’s idolatry continues unchallenged. The assumption is shattered at the threshold — the disguise stripped before she speaks a word. The reader who consults Scripture for comfort on Sunday while treating it as irrelevant on Monday is operating on exactly Jeroboam’s logic. God does not offer access to His word as a separate service from access to His lordship. Those who seek the prophetic word must be willing to be addressed — not just answered.</w:t>
      </w:r>
    </w:p>
    <w:p>
      <w:pPr>
        <w:pStyle w:val="BodyText"/>
      </w:pPr>
      <w:r>
        <w:rPr>
          <w:b/>
          <w:bCs/>
        </w:rPr>
        <w:t xml:space="preserve">2. The cost of leading others away from God is not merely personal — it extends to every person you influenced.</w:t>
      </w:r>
      <w:r>
        <w:t xml:space="preserve"> </w:t>
      </w:r>
      <w:r>
        <w:rPr>
          <w:i/>
          <w:iCs/>
        </w:rPr>
        <w:t xml:space="preserve">(Affections/Worship)</w:t>
      </w:r>
      <w:r>
        <w:t xml:space="preserve"> </w:t>
      </w:r>
      <w:r>
        <w:t xml:space="preserve">The oracle in verses 15–16 is the most sobering moment in the chapter: Israel will be uprooted from the land and scattered —</w:t>
      </w:r>
      <w:r>
        <w:t xml:space="preserve"> </w:t>
      </w:r>
      <w:r>
        <w:t xml:space="preserve">“because Jeroboam sinned and made Israel to sin.”</w:t>
      </w:r>
      <w:r>
        <w:t xml:space="preserve"> </w:t>
      </w:r>
      <w:r>
        <w:t xml:space="preserve">The ripple of one man’s idolatry has become the flood that will eventually sweep the entire nation into exile. Those entrusted with leadership in the church — pastors, elders, parents, teachers, small group leaders — carry weight that does not end with their own faithfulness. The unfaithful shepherd answers not only for his own soul but for the flock’s misdirection. This should produce holy trembling in anyone who stands before others in God’s name.</w:t>
      </w:r>
    </w:p>
    <w:p>
      <w:pPr>
        <w:pStyle w:val="BodyText"/>
      </w:pPr>
      <w:r>
        <w:rPr>
          <w:b/>
          <w:bCs/>
        </w:rPr>
        <w:t xml:space="preserve">3. God’s mercy operates with precision even within His judgment — learn to see it.</w:t>
      </w:r>
      <w:r>
        <w:t xml:space="preserve"> </w:t>
      </w:r>
      <w:r>
        <w:rPr>
          <w:i/>
          <w:iCs/>
        </w:rPr>
        <w:t xml:space="preserve">(Affections/Worship)</w:t>
      </w:r>
      <w:r>
        <w:t xml:space="preserve"> </w:t>
      </w:r>
      <w:r>
        <w:t xml:space="preserve">The child Abijah dies, and a first reading receives this as grim collateral damage. But the text insists otherwise: he is spared the shame and violence of the dynasty’s end because God saw something in him and acted accordingly. God is not a blunt instrument in chapter 14 — He is a precise and just judge who distinguishes, who sees individuals within families and nations, who grants mercy within the frame of judgment. Those who have experienced loss within the context of covenant failure — their family’s, their church’s, their nation’s — are invited to look for the specific and particular mercy of God operating within that larger story, rather than assuming the blast has no form or discrimination.</w:t>
      </w:r>
    </w:p>
    <w:p>
      <w:pPr>
        <w:pStyle w:val="BodyText"/>
      </w:pPr>
      <w:r>
        <w:rPr>
          <w:b/>
          <w:bCs/>
        </w:rPr>
        <w:t xml:space="preserve">4. When the gold is gone, do not dress up the bronze and pretend it is the same thing.</w:t>
      </w:r>
      <w:r>
        <w:t xml:space="preserve"> </w:t>
      </w:r>
      <w:r>
        <w:rPr>
          <w:i/>
          <w:iCs/>
        </w:rPr>
        <w:t xml:space="preserve">(Mind/Belief)</w:t>
      </w:r>
      <w:r>
        <w:t xml:space="preserve"> </w:t>
      </w:r>
      <w:r>
        <w:t xml:space="preserve">Rehoboam’s bronze shields are a monument to self-deception at scale: the ceremony continues, the guards carry shields in procession, the forms are observed — but everyone who remembers Solomon knows what was there before. The church faces its own version of this substitution whenever it maintains the rituals of worship while the substance of encounter with God has been forfeited — when the forms of prayer, singing, preaching, and sacrament continue but no one expects God to be present in them. The text does not let Rehoboam comfort himself with the ceremony, and it will not let us. Honest reckoning with what has been lost is the beginning of repentance; bronze-polishing is its counterfeit.</w:t>
      </w:r>
    </w:p>
    <w:p>
      <w:pPr>
        <w:pStyle w:val="BodyText"/>
      </w:pPr>
      <w:r>
        <w:rPr>
          <w:b/>
          <w:bCs/>
        </w:rPr>
        <w:t xml:space="preserve">5. Repent before the threshold is crossed — judgment becomes irreversible at a specific moment.</w:t>
      </w:r>
      <w:r>
        <w:t xml:space="preserve"> </w:t>
      </w:r>
      <w:r>
        <w:rPr>
          <w:i/>
          <w:iCs/>
        </w:rPr>
        <w:t xml:space="preserve">(Will/Behavior)</w:t>
      </w:r>
      <w:r>
        <w:t xml:space="preserve"> </w:t>
      </w:r>
      <w:r>
        <w:t xml:space="preserve">The queen’s moment of decision was somewhere between Tirzah and Shiloh — before the footsteps on the threshold, before Ahijah called out to her, before the oracle was spoken. Once Ahijah delivers the word, there is no negotiation:</w:t>
      </w:r>
      <w:r>
        <w:t xml:space="preserve"> </w:t>
      </w:r>
      <w:r>
        <w:t xml:space="preserve">“When your feet enter the city, the child shall die.”</w:t>
      </w:r>
      <w:r>
        <w:t xml:space="preserve"> </w:t>
      </w:r>
      <w:r>
        <w:t xml:space="preserve">The text marks the threshold as the point of no return. Every reader stands somewhere on that road. The invitation is not to better strategy or religious disguise — it is to turn around before the threshold. For those who have been maintaining a pretense of religious access while living in unaddressed rebellion, the text’s urgency is not abstract: there are thresholds in divine patience, and the time to repent is before they are crossed, not after.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14 teaches that God’s knowledge is absolute and His covenant accountability is correspondingly precise — He cannot be deceived, cannot be manipulated, and cannot be moved from His commitment to hold leaders accountable for what they do with the trust He has given them. The passage establishes that divine judgment is not arbitrary or impulsive but covenantally grounded: Jeroboam is judged not merely for idolatry in the abstract but for the specific betrayal of a specific elevation — the LORD gave him a kingdom, and he threw God behind his back. The chapter also teaches that the consequences of unfaithful leadership are not contained to the unfaithful leader — they extend outward in all directions, corrupting, scattering, and devastating those who were led. And within all of this, God’s mercy maintains its precision: He sees the child who has some good in him and acts with specific tenderness within a context of general judgment. This is a God who is simultaneously holy in His judgments and particular in His mercies.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foundational text for the Reformed understanding of covenantal leadership and the serious weight of the pastoral and governmental office. Jeroboam was not self-appointed — the LORD elevated him through prophetic oracle, and the covenantal conditions of that elevation were explicit. His failure is therefore not merely moral but covenantal: he violated the terms under which leadership was given, which is precisely why the judgment is not punitive in a bare sense but restorative in the sense that God will not allow His people to remain indefinitely under faithless shepherds. The passage also displays the Reformed insistence that religion without truth is not a lesser religion but a betrayal — Jeroboam’s golden calves were a replication of the form of worship without fidelity to the God being worshipped, the very pattern that Reformed theology identifies as the essence of idolatry. The Rehoboam section reinforces the Deuteronomic warnings that Solomon’s apostasy (1 Kings 11) set in motion, demonstrating the generational consequences of spiritual compromise at the top. For Reformed preaching, this chapter is a sober reminder that the gospel creates communities with real shepherds who bear real accountability, and that the Reformation principle of</w:t>
      </w:r>
      <w:r>
        <w:t xml:space="preserve"> </w:t>
      </w:r>
      <w:r>
        <w:rPr>
          <w:i/>
          <w:iCs/>
        </w:rPr>
        <w:t xml:space="preserve">semper reformanda</w:t>
      </w:r>
      <w:r>
        <w:t xml:space="preserve"> </w:t>
      </w:r>
      <w:r>
        <w:t xml:space="preserve">— always reforming — is not a slogan but a covenantal necessity.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sees through every disguise and cannot be maneuvered into blessing what He has condemned. If you are entrusted with leading His people — in any form, at any scale — the weight of that trust is not merely personal. The gold does not become bronze quietly; God names the substitution. Stop managing the appearance of faithfulness and return to the thing itself, before the threshold is behind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primarily as fulfilled predictive prophecy rather than as a theological indictment.</w:t>
      </w:r>
      <w:r>
        <w:t xml:space="preserve"> </w:t>
      </w:r>
      <w:r>
        <w:t xml:space="preserve">The precision of Ahijah’s fulfilled prediction is real and significant, but if the sermon becomes an apologetics lesson about prophetic accuracy, the chapter’s pastoral and moral weight is lost. Jeroboam is not in the text primarily so that Ahijah can be verified; Ahijah is in the text to show Jeroboam — and us — what God says to those who lead His people into idolatry while trying to access His word through deception.</w:t>
      </w:r>
    </w:p>
    <w:p>
      <w:pPr>
        <w:numPr>
          <w:ilvl w:val="0"/>
          <w:numId w:val="1002"/>
        </w:numPr>
      </w:pPr>
      <w:r>
        <w:rPr>
          <w:b/>
          <w:bCs/>
        </w:rPr>
        <w:t xml:space="preserve">Missing the deliberate mercy in the child Abijah’s death.</w:t>
      </w:r>
      <w:r>
        <w:t xml:space="preserve"> </w:t>
      </w:r>
      <w:r>
        <w:t xml:space="preserve">Preachers under pressure to move through the narrative quickly will treat the child’s death as one more element of dynastic judgment. But the text specifically flags it as different —</w:t>
      </w:r>
      <w:r>
        <w:t xml:space="preserve"> </w:t>
      </w:r>
      <w:r>
        <w:t xml:space="preserve">“something pleasing to the LORD”</w:t>
      </w:r>
      <w:r>
        <w:t xml:space="preserve"> </w:t>
      </w:r>
      <w:r>
        <w:t xml:space="preserve">— and the child’s honorable burial within a dynasty that will have none stands as a deliberate parenthesis of divine mercy. Skipping this forfeits one of the chapter’s most important pastoral moments: that God’s judgment has eyes, and those eyes are not blind to what is good.</w:t>
      </w:r>
    </w:p>
    <w:p>
      <w:pPr>
        <w:numPr>
          <w:ilvl w:val="0"/>
          <w:numId w:val="1002"/>
        </w:numPr>
      </w:pPr>
      <w:r>
        <w:rPr>
          <w:b/>
          <w:bCs/>
        </w:rPr>
        <w:t xml:space="preserve">Reducing the applications to a generic call to</w:t>
      </w:r>
      <w:r>
        <w:rPr>
          <w:b/>
          <w:bCs/>
        </w:rPr>
        <w:t xml:space="preserve"> </w:t>
      </w:r>
      <w:r>
        <w:rPr>
          <w:b/>
          <w:bCs/>
        </w:rPr>
        <w:t xml:space="preserve">“avoid idolatry.”</w:t>
      </w:r>
      <w:r>
        <w:t xml:space="preserve"> </w:t>
      </w:r>
      <w:r>
        <w:t xml:space="preserve">This passage is specifically about leadership accountability, not merely individual faithfulness. The indictment of Jeroboam is that he</w:t>
      </w:r>
      <w:r>
        <w:t xml:space="preserve"> </w:t>
      </w:r>
      <w:r>
        <w:t xml:space="preserve">“made Israel to sin”</w:t>
      </w:r>
      <w:r>
        <w:t xml:space="preserve"> </w:t>
      </w:r>
      <w:r>
        <w:t xml:space="preserve">— a category of guilt that exceeds his personal idolatry. A sermon that lands on</w:t>
      </w:r>
      <w:r>
        <w:t xml:space="preserve"> </w:t>
      </w:r>
      <w:r>
        <w:t xml:space="preserve">“we should all avoid idols”</w:t>
      </w:r>
      <w:r>
        <w:t xml:space="preserve"> </w:t>
      </w:r>
      <w:r>
        <w:t xml:space="preserve">has lost the specific shape of the passage’s confrontation with those who bear responsibility for others’ spiritual formation.</w:t>
      </w:r>
    </w:p>
    <w:p>
      <w:pPr>
        <w:numPr>
          <w:ilvl w:val="0"/>
          <w:numId w:val="1002"/>
        </w:numPr>
      </w:pPr>
      <w:r>
        <w:rPr>
          <w:b/>
          <w:bCs/>
        </w:rPr>
        <w:t xml:space="preserve">Preaching the bronze shields anecdote without explaining what made the gold significant.</w:t>
      </w:r>
      <w:r>
        <w:t xml:space="preserve"> </w:t>
      </w:r>
      <w:r>
        <w:t xml:space="preserve">The substitution of bronze for gold only carries theological weight if the congregation understands the gold — the Solomonic glory that represented the covenant faithfulness of the nation and the lavish provision of God. Without that background, the bronze shields are a curious historical detail; with it, they become an emblem of hollowed-out religion that should be immediately recognizable to modern hearers.</w:t>
      </w:r>
    </w:p>
    <w:p>
      <w:pPr>
        <w:numPr>
          <w:ilvl w:val="0"/>
          <w:numId w:val="1002"/>
        </w:numPr>
      </w:pPr>
      <w:r>
        <w:rPr>
          <w:b/>
          <w:bCs/>
        </w:rPr>
        <w:t xml:space="preserve">Ignoring the corporate and generational dimension of covenant faithlessness.</w:t>
      </w:r>
      <w:r>
        <w:t xml:space="preserve"> </w:t>
      </w:r>
      <w:r>
        <w:t xml:space="preserve">The oracle in verses 15–16 extends well beyond Jeroboam’s dynasty to the entire nation of Israel, who will eventually be scattered beyond the Euphrates. This is not mentioned in passing — it is the climactic declaration of the oracle. A sermon that treats 1 Kings 14 as a story about what happened to one bad king’s family misses the terrifying scope: one leader’s idolatry, faithfully followed by a nation, produces a national catastrophe across generations. This should be sobering for any Christian thinking about the responsibility of cultural and ecclesial leadership.</w:t>
      </w:r>
    </w:p>
    <w:p>
      <w:pPr>
        <w:numPr>
          <w:ilvl w:val="0"/>
          <w:numId w:val="1002"/>
        </w:numPr>
      </w:pPr>
      <w:r>
        <w:rPr>
          <w:b/>
          <w:bCs/>
        </w:rPr>
        <w:t xml:space="preserve">Failing to hold the two movements (Jeroboam/Israel and Rehoboam/Judah) together as a single theological statement.</w:t>
      </w:r>
      <w:r>
        <w:t xml:space="preserve"> </w:t>
      </w:r>
      <w:r>
        <w:t xml:space="preserve">The chapter’s pairing is not accidental — both kingdoms, north and south, are shown to be equally under God’s judgment in their respective ways. A sermon that spends all its time on Jeroboam and treats the Rehoboam section as an appendix misses the narrator’s point: there is nowhere to run in the divided kingdom; neither dynasty offers a faithful alternative. The judgment is comprehensive, and the reader is not given the comfort of one good option.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2026-07-14T21:02:58Z</dcterms:created>
  <dcterms:modified xsi:type="dcterms:W3CDTF">2026-07-14T21:02:58Z</dcterms:modified>
</cp:coreProperties>
</file>

<file path=docProps/custom.xml><?xml version="1.0" encoding="utf-8"?>
<Properties xmlns="http://schemas.openxmlformats.org/officeDocument/2006/custom-properties" xmlns:vt="http://schemas.openxmlformats.org/officeDocument/2006/docPropsVTypes"/>
</file>